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23201B"/>
          <w:sz w:val="48"/>
        </w:rPr>
        <w:t>PLAN VAN AANPAK RI&amp;E</w:t>
      </w:r>
    </w:p>
    <w:p>
      <w:pPr>
        <w:spacing w:after="20"/>
      </w:pPr>
      <w:r>
        <w:rPr>
          <w:b w:val="0"/>
          <w:color w:val="6B7670"/>
          <w:sz w:val="26"/>
        </w:rPr>
        <w:t>[Naam organisatie]</w:t>
      </w:r>
    </w:p>
    <w:p>
      <w:pPr>
        <w:spacing w:after="280"/>
      </w:pPr>
      <w:r>
        <w:rPr>
          <w:b w:val="0"/>
          <w:color w:val="6B7670"/>
          <w:sz w:val="20"/>
        </w:rPr>
        <w:t>Versie [1.0]  ·  [Datum]</w:t>
      </w:r>
    </w:p>
    <w:p>
      <w:pPr>
        <w:pStyle w:val="Heading2"/>
      </w:pPr>
      <w:r>
        <w:t>Over dit sjabloon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2494"/>
            <w:shd w:val="clear" w:fill="F2F4F0"/>
          </w:tcPr>
          <w:p>
            <w:r>
              <w:rPr>
                <w:b/>
                <w:sz w:val="20"/>
              </w:rPr>
              <w:t>Wat dit is</w:t>
            </w:r>
          </w:p>
        </w:tc>
        <w:tc>
          <w:tcPr>
            <w:tcW w:type="dxa" w:w="12302"/>
          </w:tcPr>
          <w:p>
            <w:r>
              <w:rPr>
                <w:sz w:val="20"/>
              </w:rPr>
              <w:t>Een invulsjabloon voor het plan van aanpak dat volgens artikel 5 lid 3 van de Arbeidsomstandighedenwet deel uitmaakt van je RI&amp;E. Je noteert per risico welke maatregel je neemt, wie hem uitvoert en wanneer hij klaar moet zijn.</w:t>
            </w:r>
          </w:p>
        </w:tc>
      </w:tr>
      <w:tr>
        <w:tc>
          <w:tcPr>
            <w:tcW w:type="dxa" w:w="2494"/>
            <w:shd w:val="clear" w:fill="F2F4F0"/>
          </w:tcPr>
          <w:p>
            <w:r>
              <w:rPr>
                <w:b/>
                <w:sz w:val="20"/>
              </w:rPr>
              <w:t>Wat dit niet is</w:t>
            </w:r>
          </w:p>
        </w:tc>
        <w:tc>
          <w:tcPr>
            <w:tcW w:type="dxa" w:w="12302"/>
          </w:tcPr>
          <w:p>
            <w:r>
              <w:rPr>
                <w:sz w:val="20"/>
              </w:rPr>
              <w:t>Dit is niet de RI&amp;E zelf. De inventarisatie van de risico's doe je met een RI&amp;E-instrument. Werkgevers met ten hoogste 25 werknemers zijn alleen vrijgesteld van de verplichte toetsing door een gecertificeerde kerndeskundige als ze daarvoor een erkend branche-instrument gebruiken (artikel 14 lid 12 Arbowet). Dit sjabloon is dat niet, en geeft die vrijstelling dus niet. Kijk op rie.nl of er voor jouw branche een erkend instrument is.</w:t>
            </w:r>
          </w:p>
        </w:tc>
      </w:tr>
      <w:tr>
        <w:tc>
          <w:tcPr>
            <w:tcW w:type="dxa" w:w="2494"/>
            <w:shd w:val="clear" w:fill="F2F4F0"/>
          </w:tcPr>
          <w:p>
            <w:r>
              <w:rPr>
                <w:b/>
                <w:sz w:val="20"/>
              </w:rPr>
              <w:t>Toetsing</w:t>
            </w:r>
          </w:p>
        </w:tc>
        <w:tc>
          <w:tcPr>
            <w:tcW w:type="dxa" w:w="12302"/>
          </w:tcPr>
          <w:p>
            <w:r>
              <w:rPr>
                <w:sz w:val="20"/>
              </w:rPr>
              <w:t>Heb je meer dan 25 werknemers, dan moet je RI&amp;E inclusief plan van aanpak altijd getoetst worden. Wordt er in totaal niet meer dan 40 uur per week gewerkt, dan vervalt die toetsingsplicht.</w:t>
            </w:r>
          </w:p>
        </w:tc>
      </w:tr>
    </w:tbl>
    <w:p/>
    <w:p>
      <w:pPr>
        <w:pStyle w:val="Heading1"/>
      </w:pPr>
      <w:r>
        <w:t>1. Gegevens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Organisatie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[Naam]</w:t>
            </w:r>
          </w:p>
        </w:tc>
      </w:tr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Vestiging / locatie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[Adres]</w:t>
            </w:r>
          </w:p>
        </w:tc>
      </w:tr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Aantal werknemers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[Aantal, inclusief uitzendkrachten en stagiairs]</w:t>
            </w:r>
          </w:p>
        </w:tc>
      </w:tr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RI&amp;E opgesteld met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[Naam van het RI&amp;E-instrument]</w:t>
            </w:r>
          </w:p>
        </w:tc>
      </w:tr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RI&amp;E vastgesteld op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[Datum]</w:t>
            </w:r>
          </w:p>
        </w:tc>
      </w:tr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RI&amp;E getoetst door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[Naam kerndeskundige / niet van toepassing]</w:t>
            </w:r>
          </w:p>
        </w:tc>
      </w:tr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Plan van aanpak opgesteld door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[Naam en functie]</w:t>
            </w:r>
          </w:p>
        </w:tc>
      </w:tr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Versie en datum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[1.0]  ·  [Datum]</w:t>
            </w:r>
          </w:p>
        </w:tc>
      </w:tr>
      <w:tr>
        <w:tc>
          <w:tcPr>
            <w:tcW w:type="dxa" w:w="3969"/>
            <w:shd w:val="clear" w:fill="F2F4F0"/>
          </w:tcPr>
          <w:p>
            <w:r>
              <w:rPr>
                <w:b/>
                <w:sz w:val="20"/>
              </w:rPr>
              <w:t>Eerstvolgende evaluatie</w:t>
            </w:r>
          </w:p>
        </w:tc>
        <w:tc>
          <w:tcPr>
            <w:tcW w:type="dxa" w:w="10828"/>
          </w:tcPr>
          <w:p>
            <w:r>
              <w:rPr>
                <w:sz w:val="20"/>
              </w:rPr>
              <w:t>[Datum, uiterlijk één jaar na vaststelling]</w:t>
            </w:r>
          </w:p>
        </w:tc>
      </w:tr>
    </w:tbl>
    <w:p/>
    <w:p>
      <w:pPr>
        <w:pStyle w:val="Heading1"/>
      </w:pPr>
      <w:r>
        <w:t>2. Maatregelen</w:t>
      </w:r>
    </w:p>
    <w:p>
      <w:pPr>
        <w:spacing w:after="160"/>
      </w:pPr>
      <w:r>
        <w:rPr>
          <w:b w:val="0"/>
          <w:color w:val="6B7670"/>
          <w:sz w:val="20"/>
        </w:rPr>
        <w:t>Neem elk risico uit de RI&amp;E over. Zet de maatregelen met het hoogste risico bovenaan. Een maatregel zonder naam en zonder datum is geen maatregel.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50"/>
        <w:gridCol w:w="1850"/>
        <w:gridCol w:w="1850"/>
        <w:gridCol w:w="1850"/>
        <w:gridCol w:w="1850"/>
        <w:gridCol w:w="1850"/>
        <w:gridCol w:w="1850"/>
        <w:gridCol w:w="1850"/>
      </w:tblGrid>
      <w:tr>
        <w:tc>
          <w:tcPr>
            <w:tcW w:type="dxa" w:w="624"/>
            <w:shd w:val="clear" w:fill="E6EAE3"/>
          </w:tcPr>
          <w:p>
            <w:r>
              <w:rPr>
                <w:b/>
                <w:sz w:val="19"/>
              </w:rPr>
              <w:t>Nr.</w:t>
            </w:r>
          </w:p>
        </w:tc>
        <w:tc>
          <w:tcPr>
            <w:tcW w:type="dxa" w:w="3515"/>
            <w:shd w:val="clear" w:fill="E6EAE3"/>
          </w:tcPr>
          <w:p>
            <w:r>
              <w:rPr>
                <w:b/>
                <w:sz w:val="19"/>
              </w:rPr>
              <w:t>Risico uit de RI&amp;E</w:t>
            </w:r>
          </w:p>
        </w:tc>
        <w:tc>
          <w:tcPr>
            <w:tcW w:type="dxa" w:w="850"/>
            <w:shd w:val="clear" w:fill="E6EAE3"/>
          </w:tcPr>
          <w:p>
            <w:r>
              <w:rPr>
                <w:b/>
                <w:sz w:val="19"/>
              </w:rPr>
              <w:t>Prio</w:t>
            </w:r>
          </w:p>
        </w:tc>
        <w:tc>
          <w:tcPr>
            <w:tcW w:type="dxa" w:w="4082"/>
            <w:shd w:val="clear" w:fill="E6EAE3"/>
          </w:tcPr>
          <w:p>
            <w:r>
              <w:rPr>
                <w:b/>
                <w:sz w:val="19"/>
              </w:rPr>
              <w:t>Maatregel</w:t>
            </w:r>
          </w:p>
        </w:tc>
        <w:tc>
          <w:tcPr>
            <w:tcW w:type="dxa" w:w="1587"/>
            <w:shd w:val="clear" w:fill="E6EAE3"/>
          </w:tcPr>
          <w:p>
            <w:r>
              <w:rPr>
                <w:b/>
                <w:sz w:val="19"/>
              </w:rPr>
              <w:t>Wie</w:t>
            </w:r>
          </w:p>
        </w:tc>
        <w:tc>
          <w:tcPr>
            <w:tcW w:type="dxa" w:w="1474"/>
            <w:shd w:val="clear" w:fill="E6EAE3"/>
          </w:tcPr>
          <w:p>
            <w:r>
              <w:rPr>
                <w:b/>
                <w:sz w:val="19"/>
              </w:rPr>
              <w:t>Uiterlijk klaar</w:t>
            </w:r>
          </w:p>
        </w:tc>
        <w:tc>
          <w:tcPr>
            <w:tcW w:type="dxa" w:w="1304"/>
            <w:shd w:val="clear" w:fill="E6EAE3"/>
          </w:tcPr>
          <w:p>
            <w:r>
              <w:rPr>
                <w:b/>
                <w:sz w:val="19"/>
              </w:rPr>
              <w:t>Gereed op</w:t>
            </w:r>
          </w:p>
        </w:tc>
        <w:tc>
          <w:tcPr>
            <w:tcW w:type="dxa" w:w="1361"/>
            <w:shd w:val="clear" w:fill="E6EAE3"/>
          </w:tcPr>
          <w:p>
            <w:r>
              <w:rPr>
                <w:b/>
                <w:sz w:val="19"/>
              </w:rPr>
              <w:t>Effect gecontroleerd</w:t>
            </w:r>
          </w:p>
        </w:tc>
      </w:tr>
      <w:tr>
        <w:tc>
          <w:tcPr>
            <w:tcW w:type="dxa" w:w="624"/>
          </w:tcPr>
          <w:p>
            <w:r>
              <w:rPr>
                <w:i/>
                <w:color w:val="6B7670"/>
                <w:sz w:val="19"/>
              </w:rPr>
              <w:t>1</w:t>
            </w:r>
          </w:p>
        </w:tc>
        <w:tc>
          <w:tcPr>
            <w:tcW w:type="dxa" w:w="3515"/>
          </w:tcPr>
          <w:p>
            <w:r>
              <w:rPr>
                <w:i/>
                <w:color w:val="6B7670"/>
                <w:sz w:val="19"/>
              </w:rPr>
              <w:t>Nooduitgang magazijn wordt geblokkeerd door pallets</w:t>
            </w:r>
          </w:p>
        </w:tc>
        <w:tc>
          <w:tcPr>
            <w:tcW w:type="dxa" w:w="850"/>
          </w:tcPr>
          <w:p>
            <w:r>
              <w:rPr>
                <w:i/>
                <w:color w:val="6B7670"/>
                <w:sz w:val="19"/>
              </w:rPr>
              <w:t>Hoog</w:t>
            </w:r>
          </w:p>
        </w:tc>
        <w:tc>
          <w:tcPr>
            <w:tcW w:type="dxa" w:w="4082"/>
          </w:tcPr>
          <w:p>
            <w:r>
              <w:rPr>
                <w:i/>
                <w:color w:val="6B7670"/>
                <w:sz w:val="19"/>
              </w:rPr>
              <w:t>Belijning op de vloer, wekelijkse controle door de magazijnchef</w:t>
            </w:r>
          </w:p>
        </w:tc>
        <w:tc>
          <w:tcPr>
            <w:tcW w:type="dxa" w:w="1587"/>
          </w:tcPr>
          <w:p>
            <w:r>
              <w:rPr>
                <w:i/>
                <w:color w:val="6B7670"/>
                <w:sz w:val="19"/>
              </w:rPr>
              <w:t>J. de Vries</w:t>
            </w:r>
          </w:p>
        </w:tc>
        <w:tc>
          <w:tcPr>
            <w:tcW w:type="dxa" w:w="1474"/>
          </w:tcPr>
          <w:p>
            <w:r>
              <w:rPr>
                <w:i/>
                <w:color w:val="6B7670"/>
                <w:sz w:val="19"/>
              </w:rPr>
              <w:t>31-10-2026</w:t>
            </w:r>
          </w:p>
        </w:tc>
        <w:tc>
          <w:tcPr>
            <w:tcW w:type="dxa" w:w="1304"/>
          </w:tcPr>
          <w:p>
            <w:r>
              <w:rPr>
                <w:i/>
                <w:color w:val="6B7670"/>
                <w:sz w:val="19"/>
              </w:rPr>
            </w:r>
          </w:p>
        </w:tc>
        <w:tc>
          <w:tcPr>
            <w:tcW w:type="dxa" w:w="1361"/>
          </w:tcPr>
          <w:p>
            <w:r>
              <w:rPr>
                <w:i/>
                <w:color w:val="6B7670"/>
                <w:sz w:val="19"/>
              </w:rPr>
            </w:r>
          </w:p>
        </w:tc>
      </w:tr>
      <w:tr>
        <w:tc>
          <w:tcPr>
            <w:tcW w:type="dxa" w:w="14800"/>
            <w:gridSpan w:val="8"/>
            <w:shd w:val="clear" w:fill="F7F8F5"/>
          </w:tcPr>
          <w:p>
            <w:r>
              <w:rPr>
                <w:i/>
                <w:color w:val="6B7670"/>
                <w:sz w:val="17"/>
              </w:rPr>
              <w:t>Regel hierboven is een voorbeeld. Verwijder hem en vul je eigen risico's in.</w:t>
            </w:r>
          </w:p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2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3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4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5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6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7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8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9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10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11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12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13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14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  <w:tr>
        <w:tc>
          <w:tcPr>
            <w:tcW w:type="dxa" w:w="624"/>
          </w:tcPr>
          <w:p>
            <w:r>
              <w:rPr>
                <w:color w:val="6B7670"/>
                <w:sz w:val="19"/>
              </w:rPr>
              <w:t>15</w:t>
            </w:r>
          </w:p>
        </w:tc>
        <w:tc>
          <w:tcPr>
            <w:tcW w:type="dxa" w:w="3515"/>
          </w:tcPr>
          <w:p/>
        </w:tc>
        <w:tc>
          <w:tcPr>
            <w:tcW w:type="dxa" w:w="850"/>
          </w:tcPr>
          <w:p/>
        </w:tc>
        <w:tc>
          <w:tcPr>
            <w:tcW w:type="dxa" w:w="4082"/>
          </w:tcPr>
          <w:p/>
        </w:tc>
        <w:tc>
          <w:tcPr>
            <w:tcW w:type="dxa" w:w="1587"/>
          </w:tcPr>
          <w:p/>
        </w:tc>
        <w:tc>
          <w:tcPr>
            <w:tcW w:type="dxa" w:w="1474"/>
          </w:tcPr>
          <w:p/>
        </w:tc>
        <w:tc>
          <w:tcPr>
            <w:tcW w:type="dxa" w:w="1304"/>
          </w:tcPr>
          <w:p/>
        </w:tc>
        <w:tc>
          <w:tcPr>
            <w:tcW w:type="dxa" w:w="1361"/>
          </w:tcPr>
          <w:p/>
        </w:tc>
      </w:tr>
    </w:tbl>
    <w:p/>
    <w:p>
      <w:pPr>
        <w:pStyle w:val="Heading1"/>
      </w:pPr>
      <w:r>
        <w:t>3. Jaarlijkse evaluatie</w:t>
      </w:r>
    </w:p>
    <w:p>
      <w:pPr>
        <w:spacing w:after="160"/>
      </w:pPr>
      <w:r>
        <w:rPr>
          <w:b w:val="0"/>
          <w:color w:val="6B7670"/>
          <w:sz w:val="20"/>
        </w:rPr>
        <w:t>Minstens één keer per jaar nalopen: is de maatregel uitgevoerd, en heeft hij gewerkt? Verandert er iets aan het pand, de machines of de manier van werken, dan pak je de RI&amp;E eerder opnieuw op.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99"/>
        <w:gridCol w:w="3699"/>
        <w:gridCol w:w="3699"/>
        <w:gridCol w:w="3699"/>
      </w:tblGrid>
      <w:tr>
        <w:tc>
          <w:tcPr>
            <w:tcW w:type="dxa" w:w="1701"/>
            <w:shd w:val="clear" w:fill="E6EAE3"/>
          </w:tcPr>
          <w:p>
            <w:r>
              <w:rPr>
                <w:b/>
                <w:sz w:val="19"/>
              </w:rPr>
              <w:t>Datum</w:t>
            </w:r>
          </w:p>
        </w:tc>
        <w:tc>
          <w:tcPr>
            <w:tcW w:type="dxa" w:w="5953"/>
            <w:shd w:val="clear" w:fill="E6EAE3"/>
          </w:tcPr>
          <w:p>
            <w:r>
              <w:rPr>
                <w:b/>
                <w:sz w:val="19"/>
              </w:rPr>
              <w:t>Wat is er besproken</w:t>
            </w:r>
          </w:p>
        </w:tc>
        <w:tc>
          <w:tcPr>
            <w:tcW w:type="dxa" w:w="4876"/>
            <w:shd w:val="clear" w:fill="E6EAE3"/>
          </w:tcPr>
          <w:p>
            <w:r>
              <w:rPr>
                <w:b/>
                <w:sz w:val="19"/>
              </w:rPr>
              <w:t>Aanpassing in het plan</w:t>
            </w:r>
          </w:p>
        </w:tc>
        <w:tc>
          <w:tcPr>
            <w:tcW w:type="dxa" w:w="2268"/>
            <w:shd w:val="clear" w:fill="E6EAE3"/>
          </w:tcPr>
          <w:p>
            <w:r>
              <w:rPr>
                <w:b/>
                <w:sz w:val="19"/>
              </w:rPr>
              <w:t>Door wie</w:t>
            </w:r>
          </w:p>
        </w:tc>
      </w:tr>
      <w:tr>
        <w:tc>
          <w:tcPr>
            <w:tcW w:type="dxa" w:w="1701"/>
          </w:tcPr>
          <w:p/>
        </w:tc>
        <w:tc>
          <w:tcPr>
            <w:tcW w:type="dxa" w:w="5953"/>
          </w:tcPr>
          <w:p/>
        </w:tc>
        <w:tc>
          <w:tcPr>
            <w:tcW w:type="dxa" w:w="4876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701"/>
          </w:tcPr>
          <w:p/>
        </w:tc>
        <w:tc>
          <w:tcPr>
            <w:tcW w:type="dxa" w:w="5953"/>
          </w:tcPr>
          <w:p/>
        </w:tc>
        <w:tc>
          <w:tcPr>
            <w:tcW w:type="dxa" w:w="4876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701"/>
          </w:tcPr>
          <w:p/>
        </w:tc>
        <w:tc>
          <w:tcPr>
            <w:tcW w:type="dxa" w:w="5953"/>
          </w:tcPr>
          <w:p/>
        </w:tc>
        <w:tc>
          <w:tcPr>
            <w:tcW w:type="dxa" w:w="4876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701"/>
          </w:tcPr>
          <w:p/>
        </w:tc>
        <w:tc>
          <w:tcPr>
            <w:tcW w:type="dxa" w:w="5953"/>
          </w:tcPr>
          <w:p/>
        </w:tc>
        <w:tc>
          <w:tcPr>
            <w:tcW w:type="dxa" w:w="4876"/>
          </w:tcPr>
          <w:p/>
        </w:tc>
        <w:tc>
          <w:tcPr>
            <w:tcW w:type="dxa" w:w="2268"/>
          </w:tcPr>
          <w:p/>
        </w:tc>
      </w:tr>
      <w:tr>
        <w:tc>
          <w:tcPr>
            <w:tcW w:type="dxa" w:w="1701"/>
          </w:tcPr>
          <w:p/>
        </w:tc>
        <w:tc>
          <w:tcPr>
            <w:tcW w:type="dxa" w:w="5953"/>
          </w:tcPr>
          <w:p/>
        </w:tc>
        <w:tc>
          <w:tcPr>
            <w:tcW w:type="dxa" w:w="4876"/>
          </w:tcPr>
          <w:p/>
        </w:tc>
        <w:tc>
          <w:tcPr>
            <w:tcW w:type="dxa" w:w="2268"/>
          </w:tcPr>
          <w:p/>
        </w:tc>
      </w:tr>
    </w:tbl>
    <w:p/>
    <w:p>
      <w:pPr>
        <w:pStyle w:val="Heading1"/>
      </w:pPr>
      <w:r>
        <w:t>4. Vaststelling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4819"/>
            <w:shd w:val="clear" w:fill="F2F4F0"/>
          </w:tcPr>
          <w:p>
            <w:r>
              <w:rPr>
                <w:b/>
                <w:sz w:val="20"/>
              </w:rPr>
              <w:t>Vastgesteld door (directie)</w:t>
            </w:r>
          </w:p>
        </w:tc>
        <w:tc>
          <w:tcPr>
            <w:tcW w:type="dxa" w:w="9978"/>
          </w:tcPr>
          <w:p>
            <w:r>
              <w:rPr>
                <w:sz w:val="20"/>
              </w:rPr>
              <w:t>[Naam]</w:t>
            </w:r>
          </w:p>
        </w:tc>
      </w:tr>
      <w:tr>
        <w:tc>
          <w:tcPr>
            <w:tcW w:type="dxa" w:w="4819"/>
            <w:shd w:val="clear" w:fill="F2F4F0"/>
          </w:tcPr>
          <w:p>
            <w:r>
              <w:rPr>
                <w:b/>
                <w:sz w:val="20"/>
              </w:rPr>
              <w:t>Datum en handtekening</w:t>
            </w:r>
          </w:p>
        </w:tc>
        <w:tc>
          <w:tcPr>
            <w:tcW w:type="dxa" w:w="9978"/>
          </w:tcPr>
          <w:p>
            <w:pPr>
              <w:spacing w:after="280"/>
            </w:pPr>
            <w:r>
              <w:rPr>
                <w:sz w:val="20"/>
              </w:rPr>
            </w:r>
          </w:p>
        </w:tc>
      </w:tr>
      <w:tr>
        <w:tc>
          <w:tcPr>
            <w:tcW w:type="dxa" w:w="4819"/>
            <w:shd w:val="clear" w:fill="F2F4F0"/>
          </w:tcPr>
          <w:p>
            <w:r>
              <w:rPr>
                <w:b/>
                <w:sz w:val="20"/>
              </w:rPr>
              <w:t>Advies OR of personeelsvertegenwoordiging</w:t>
            </w:r>
          </w:p>
        </w:tc>
        <w:tc>
          <w:tcPr>
            <w:tcW w:type="dxa" w:w="9978"/>
          </w:tcPr>
          <w:p>
            <w:r>
              <w:rPr>
                <w:sz w:val="20"/>
              </w:rPr>
              <w:t>[Datum advies / geen OR of PVT aanwezig]</w:t>
            </w:r>
          </w:p>
        </w:tc>
      </w:tr>
      <w:tr>
        <w:tc>
          <w:tcPr>
            <w:tcW w:type="dxa" w:w="4819"/>
            <w:shd w:val="clear" w:fill="F2F4F0"/>
          </w:tcPr>
          <w:p>
            <w:r>
              <w:rPr>
                <w:b/>
                <w:sz w:val="20"/>
              </w:rPr>
              <w:t>Besproken met medewerkers op</w:t>
            </w:r>
          </w:p>
        </w:tc>
        <w:tc>
          <w:tcPr>
            <w:tcW w:type="dxa" w:w="9978"/>
          </w:tcPr>
          <w:p>
            <w:r>
              <w:rPr>
                <w:sz w:val="20"/>
              </w:rPr>
              <w:t>[Datum werkoverleg of toolbox]</w:t>
            </w:r>
          </w:p>
        </w:tc>
      </w:tr>
    </w:tbl>
    <w:p/>
    <w:p>
      <w:pPr>
        <w:spacing w:after="0"/>
      </w:pPr>
      <w:r>
        <w:rPr>
          <w:b w:val="0"/>
          <w:color w:val="6B7670"/>
          <w:sz w:val="17"/>
        </w:rPr>
        <w:t>LevelUp BHV  ·  levelupbhv.nl  ·  Dit sjabloon is een hulpmiddel, geen advies op maat. Je blijft zelf verantwoordelijk voor een volledige en juiste RI&amp;E.</w:t>
      </w:r>
    </w:p>
    <w:sectPr w:rsidR="00FC693F" w:rsidRPr="0006063C" w:rsidSect="00034616"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3201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3201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23201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